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5F" w:rsidRPr="00297467" w:rsidRDefault="0098635F" w:rsidP="0098635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2"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97467">
        <w:rPr>
          <w:b/>
          <w:bCs/>
          <w:sz w:val="24"/>
          <w:szCs w:val="24"/>
        </w:rPr>
        <w:t>ПРОЦЕДУРА ЗА ВЪЗЛАГАНЕ НА ОБЩЕСТВЕНА ПОРЪЧКА С ПРЕДМЕТ</w:t>
      </w:r>
    </w:p>
    <w:p w:rsidR="0098635F" w:rsidRPr="00297467" w:rsidRDefault="0098635F" w:rsidP="0098635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2" w:firstLine="0"/>
        <w:jc w:val="center"/>
        <w:rPr>
          <w:sz w:val="24"/>
          <w:szCs w:val="24"/>
        </w:rPr>
      </w:pPr>
    </w:p>
    <w:p w:rsidR="0098635F" w:rsidRPr="00297467" w:rsidRDefault="0098635F" w:rsidP="0098635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97467">
        <w:rPr>
          <w:rFonts w:ascii="Times New Roman" w:hAnsi="Times New Roman" w:cs="Times New Roman"/>
          <w:sz w:val="24"/>
          <w:szCs w:val="24"/>
        </w:rPr>
        <w:t>ДОСТАВКА НА 1</w:t>
      </w:r>
      <w:r w:rsidR="00A909DB" w:rsidRPr="0029746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297467">
        <w:rPr>
          <w:rFonts w:ascii="Times New Roman" w:hAnsi="Times New Roman" w:cs="Times New Roman"/>
          <w:sz w:val="24"/>
          <w:szCs w:val="24"/>
        </w:rPr>
        <w:t>0 БРОЯ НОВИ ЕДИНИЧНИ АВТОБУСИ И СПЕЦИАЛИЗИРАНО ОБОРУДВАНЕ КЪМ ТЯХ</w:t>
      </w:r>
    </w:p>
    <w:p w:rsidR="0098635F" w:rsidRPr="00297467" w:rsidRDefault="0098635F" w:rsidP="0098635F">
      <w:pPr>
        <w:spacing w:line="276" w:lineRule="auto"/>
        <w:ind w:right="-2"/>
        <w:jc w:val="center"/>
        <w:rPr>
          <w:b/>
          <w:bCs/>
          <w:sz w:val="26"/>
          <w:szCs w:val="26"/>
          <w:lang w:val="bg-BG"/>
        </w:rPr>
      </w:pPr>
    </w:p>
    <w:p w:rsidR="0098635F" w:rsidRPr="00297467" w:rsidRDefault="0098635F" w:rsidP="0098635F">
      <w:pPr>
        <w:spacing w:line="276" w:lineRule="auto"/>
        <w:ind w:right="-2"/>
        <w:jc w:val="center"/>
        <w:rPr>
          <w:b/>
          <w:bCs/>
          <w:sz w:val="28"/>
          <w:szCs w:val="28"/>
          <w:lang w:val="bg-BG"/>
        </w:rPr>
      </w:pPr>
      <w:r w:rsidRPr="00297467">
        <w:rPr>
          <w:b/>
          <w:bCs/>
          <w:sz w:val="28"/>
          <w:szCs w:val="28"/>
          <w:lang w:val="bg-BG"/>
        </w:rPr>
        <w:t xml:space="preserve">Показатели, относителната им тежест и методика за определяне на комплексната оценка на </w:t>
      </w:r>
      <w:proofErr w:type="gramStart"/>
      <w:r w:rsidRPr="00297467">
        <w:rPr>
          <w:b/>
          <w:bCs/>
          <w:sz w:val="28"/>
          <w:szCs w:val="28"/>
          <w:lang w:val="bg-BG"/>
        </w:rPr>
        <w:t>офертите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8"/>
          <w:szCs w:val="28"/>
        </w:rPr>
      </w:pPr>
    </w:p>
    <w:p w:rsidR="00FE732C" w:rsidRPr="00297467" w:rsidRDefault="00FE732C" w:rsidP="0098635F">
      <w:pPr>
        <w:spacing w:line="276" w:lineRule="auto"/>
        <w:ind w:right="-2"/>
        <w:jc w:val="both"/>
        <w:rPr>
          <w:sz w:val="28"/>
          <w:szCs w:val="28"/>
        </w:rPr>
      </w:pPr>
    </w:p>
    <w:p w:rsidR="0098635F" w:rsidRPr="00297467" w:rsidRDefault="0098635F" w:rsidP="0098635F">
      <w:pPr>
        <w:spacing w:after="120" w:line="276" w:lineRule="auto"/>
        <w:ind w:right="-2" w:firstLine="698"/>
        <w:jc w:val="both"/>
        <w:rPr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>Критерий за оценка</w:t>
      </w:r>
      <w:r w:rsidR="00A909DB" w:rsidRPr="00297467">
        <w:rPr>
          <w:sz w:val="24"/>
          <w:szCs w:val="24"/>
          <w:lang w:val="bg-BG"/>
        </w:rPr>
        <w:t xml:space="preserve"> – „</w:t>
      </w:r>
      <w:r w:rsidRPr="00297467">
        <w:rPr>
          <w:sz w:val="24"/>
          <w:szCs w:val="24"/>
          <w:lang w:val="bg-BG"/>
        </w:rPr>
        <w:t>Икономически най-изгодна оферта”.</w:t>
      </w:r>
    </w:p>
    <w:p w:rsidR="0098635F" w:rsidRPr="00297467" w:rsidRDefault="0098635F" w:rsidP="0098635F">
      <w:pPr>
        <w:spacing w:line="276" w:lineRule="auto"/>
        <w:ind w:right="-2" w:firstLine="698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>Общата (комплексна) оценка за всяка оферта се определя, като първоначално се изчисляват присъдените точки по отделните показатели и се умножават по коефициента на относителната им тежест. След това всяка оферта получава комплексна оценка, изразена в точки по следната формула:</w:t>
      </w:r>
    </w:p>
    <w:p w:rsidR="0098635F" w:rsidRPr="00297467" w:rsidRDefault="0098635F" w:rsidP="0098635F">
      <w:pPr>
        <w:spacing w:before="120" w:after="120" w:line="276" w:lineRule="auto"/>
        <w:ind w:right="-2"/>
        <w:jc w:val="center"/>
        <w:rPr>
          <w:b/>
          <w:bCs/>
          <w:spacing w:val="60"/>
          <w:sz w:val="24"/>
          <w:szCs w:val="24"/>
          <w:lang w:val="bg-BG"/>
        </w:rPr>
      </w:pPr>
      <w:r w:rsidRPr="00297467">
        <w:rPr>
          <w:b/>
          <w:bCs/>
          <w:spacing w:val="60"/>
          <w:sz w:val="24"/>
          <w:szCs w:val="24"/>
          <w:lang w:val="bg-BG"/>
        </w:rPr>
        <w:t>KO=EP+EмP+S+A+L+Rg+P+P/V+Ц</w:t>
      </w:r>
    </w:p>
    <w:p w:rsidR="0098635F" w:rsidRPr="00297467" w:rsidRDefault="0098635F" w:rsidP="0098635F">
      <w:pPr>
        <w:spacing w:line="276" w:lineRule="auto"/>
        <w:ind w:right="-2"/>
        <w:rPr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 w:firstLine="696"/>
        <w:jc w:val="both"/>
        <w:rPr>
          <w:b/>
          <w:bCs/>
          <w:sz w:val="24"/>
          <w:szCs w:val="24"/>
          <w:u w:val="single"/>
          <w:lang w:val="bg-BG"/>
        </w:rPr>
      </w:pPr>
      <w:r w:rsidRPr="00297467">
        <w:rPr>
          <w:b/>
          <w:bCs/>
          <w:sz w:val="24"/>
          <w:szCs w:val="24"/>
          <w:u w:val="single"/>
          <w:lang w:val="bg-BG"/>
        </w:rPr>
        <w:t>I. ОБЩИ КРИТЕРИИ - МАКСИМАЛНА ТЕЖЕСТ – 40 % (40 т.)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 xml:space="preserve">1. </w:t>
      </w:r>
      <w:r w:rsidRPr="00297467">
        <w:rPr>
          <w:b/>
          <w:bCs/>
          <w:smallCaps/>
          <w:sz w:val="24"/>
          <w:szCs w:val="24"/>
          <w:lang w:val="bg-BG"/>
        </w:rPr>
        <w:t>ЕНЕРГИЙНИ И ЕМИСИОННИ РАЗХОДИ ЗА ЦЕЛИЯ ЕКСПЛОАТАЦИОНЕН ЖИВОТ НА ПРЕДЛАГАНИТЕ АВТОБУСИ -</w:t>
      </w:r>
      <w:r w:rsidRPr="00297467">
        <w:rPr>
          <w:b/>
          <w:bCs/>
          <w:sz w:val="24"/>
          <w:szCs w:val="24"/>
          <w:lang w:val="bg-BG"/>
        </w:rPr>
        <w:t xml:space="preserve"> ТЕЖЕСТ 15 % (15 т.)</w:t>
      </w:r>
      <w:r w:rsidRPr="00297467">
        <w:rPr>
          <w:sz w:val="24"/>
          <w:szCs w:val="24"/>
          <w:lang w:val="bg-BG"/>
        </w:rPr>
        <w:t>, в т. ч.: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</w:p>
    <w:p w:rsidR="0098635F" w:rsidRPr="00297467" w:rsidRDefault="0098635F" w:rsidP="0098635F">
      <w:pPr>
        <w:spacing w:after="120"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1.1. </w:t>
      </w:r>
      <w:r w:rsidRPr="00297467">
        <w:rPr>
          <w:sz w:val="24"/>
          <w:szCs w:val="24"/>
          <w:u w:val="single"/>
          <w:lang w:val="bg-BG"/>
        </w:rPr>
        <w:t>Енергийни разходи (ЕР)</w:t>
      </w:r>
      <w:r w:rsidRPr="00297467">
        <w:rPr>
          <w:sz w:val="24"/>
          <w:szCs w:val="24"/>
          <w:lang w:val="bg-BG"/>
        </w:rPr>
        <w:t xml:space="preserve">, в евро - 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    </w:t>
      </w:r>
      <w:r w:rsidRPr="00297467">
        <w:rPr>
          <w:sz w:val="24"/>
          <w:szCs w:val="24"/>
          <w:lang w:val="bg-BG"/>
        </w:rPr>
        <w:tab/>
        <w:t xml:space="preserve">   до 10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    по формулата:  </w:t>
      </w:r>
      <w:r w:rsidRPr="00297467">
        <w:rPr>
          <w:sz w:val="24"/>
          <w:szCs w:val="24"/>
          <w:u w:val="single"/>
        </w:rPr>
        <w:t xml:space="preserve">  ЕР min    </w:t>
      </w:r>
      <w:r w:rsidRPr="00297467">
        <w:rPr>
          <w:sz w:val="24"/>
          <w:szCs w:val="24"/>
        </w:rPr>
        <w:t xml:space="preserve"> x  10 = 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                                  ЕР n                    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където</w:t>
      </w:r>
      <w:proofErr w:type="gramEnd"/>
      <w:r w:rsidRPr="00297467">
        <w:rPr>
          <w:sz w:val="24"/>
          <w:szCs w:val="24"/>
          <w:lang w:val="bg-BG"/>
        </w:rPr>
        <w:t xml:space="preserve">   ЕР min - най-нисък разход от всички оферти 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             ЕР n - разход от конкретната </w:t>
      </w:r>
      <w:proofErr w:type="gramStart"/>
      <w:r w:rsidRPr="00297467">
        <w:rPr>
          <w:sz w:val="24"/>
          <w:szCs w:val="24"/>
          <w:lang w:val="bg-BG"/>
        </w:rPr>
        <w:t>оферта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</w:p>
    <w:p w:rsidR="0098635F" w:rsidRPr="00297467" w:rsidRDefault="0098635F" w:rsidP="0098635F">
      <w:pPr>
        <w:spacing w:after="120"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1.2. </w:t>
      </w:r>
      <w:r w:rsidRPr="00297467">
        <w:rPr>
          <w:sz w:val="24"/>
          <w:szCs w:val="24"/>
          <w:u w:val="single"/>
          <w:lang w:val="bg-BG"/>
        </w:rPr>
        <w:t>Емисионни разходи (ЕмР)</w:t>
      </w:r>
      <w:r w:rsidRPr="00297467">
        <w:rPr>
          <w:sz w:val="24"/>
          <w:szCs w:val="24"/>
          <w:lang w:val="bg-BG"/>
        </w:rPr>
        <w:t xml:space="preserve">, в евро - 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     </w:t>
      </w:r>
      <w:r w:rsidRPr="00297467">
        <w:rPr>
          <w:sz w:val="24"/>
          <w:szCs w:val="24"/>
          <w:lang w:val="bg-BG"/>
        </w:rPr>
        <w:tab/>
        <w:t xml:space="preserve">   до 5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    по формулата:  </w:t>
      </w:r>
      <w:r w:rsidRPr="00297467">
        <w:rPr>
          <w:sz w:val="24"/>
          <w:szCs w:val="24"/>
          <w:u w:val="single"/>
        </w:rPr>
        <w:t>ЕмР min</w:t>
      </w:r>
      <w:r w:rsidRPr="00297467">
        <w:rPr>
          <w:sz w:val="24"/>
          <w:szCs w:val="24"/>
        </w:rPr>
        <w:t xml:space="preserve">   х   5 =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                                 ЕмР n                      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където</w:t>
      </w:r>
      <w:proofErr w:type="gramEnd"/>
      <w:r w:rsidRPr="00297467">
        <w:rPr>
          <w:sz w:val="24"/>
          <w:szCs w:val="24"/>
          <w:lang w:val="bg-BG"/>
        </w:rPr>
        <w:t xml:space="preserve">  ЕмР min - най-нисък разход от всички оферти 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           ЕмР n - разход от конкретната </w:t>
      </w:r>
      <w:proofErr w:type="gramStart"/>
      <w:r w:rsidRPr="00297467">
        <w:rPr>
          <w:sz w:val="24"/>
          <w:szCs w:val="24"/>
          <w:lang w:val="bg-BG"/>
        </w:rPr>
        <w:t xml:space="preserve">оферта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 xml:space="preserve">2. ГАРАНЦИОННИ УСЛОВИЯ НА ПРЕДЛАГАНИТЕ </w:t>
      </w:r>
      <w:proofErr w:type="gramStart"/>
      <w:r w:rsidRPr="00297467">
        <w:rPr>
          <w:b/>
          <w:bCs/>
          <w:sz w:val="24"/>
          <w:szCs w:val="24"/>
          <w:lang w:val="bg-BG"/>
        </w:rPr>
        <w:t xml:space="preserve">АВТОБУСИ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>- ТЕЖЕСТ 5 % (5 т.)</w:t>
      </w:r>
      <w:r w:rsidRPr="00297467">
        <w:rPr>
          <w:sz w:val="24"/>
          <w:szCs w:val="24"/>
          <w:lang w:val="bg-BG"/>
        </w:rPr>
        <w:t>, в т. ч.:</w:t>
      </w:r>
    </w:p>
    <w:p w:rsidR="0098635F" w:rsidRPr="00297467" w:rsidRDefault="0098635F" w:rsidP="0098635F">
      <w:pPr>
        <w:spacing w:after="120"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2.1. </w:t>
      </w:r>
      <w:r w:rsidRPr="00297467">
        <w:rPr>
          <w:sz w:val="24"/>
          <w:szCs w:val="24"/>
          <w:u w:val="single"/>
          <w:lang w:val="bg-BG"/>
        </w:rPr>
        <w:t>Гаранционен срок за автобуса (</w:t>
      </w:r>
      <w:proofErr w:type="gramStart"/>
      <w:r w:rsidRPr="00297467">
        <w:rPr>
          <w:sz w:val="24"/>
          <w:szCs w:val="24"/>
          <w:u w:val="single"/>
          <w:lang w:val="bg-BG"/>
        </w:rPr>
        <w:t>S) -</w:t>
      </w:r>
      <w:proofErr w:type="gramEnd"/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     </w:t>
      </w:r>
      <w:r w:rsidRPr="00297467">
        <w:rPr>
          <w:sz w:val="24"/>
          <w:szCs w:val="24"/>
          <w:lang w:val="bg-BG"/>
        </w:rPr>
        <w:tab/>
        <w:t xml:space="preserve">   </w:t>
      </w:r>
      <w:r w:rsidRPr="00297467">
        <w:rPr>
          <w:sz w:val="24"/>
          <w:szCs w:val="24"/>
          <w:lang w:val="bg-BG"/>
        </w:rPr>
        <w:tab/>
        <w:t xml:space="preserve">    </w:t>
      </w:r>
      <w:r w:rsidRPr="00297467">
        <w:rPr>
          <w:sz w:val="24"/>
          <w:szCs w:val="24"/>
          <w:lang w:val="bg-BG"/>
        </w:rPr>
        <w:tab/>
        <w:t xml:space="preserve">  </w:t>
      </w:r>
      <w:r w:rsidRPr="00297467">
        <w:rPr>
          <w:sz w:val="24"/>
          <w:szCs w:val="24"/>
          <w:lang w:val="bg-BG"/>
        </w:rPr>
        <w:tab/>
        <w:t xml:space="preserve">  </w:t>
      </w:r>
      <w:proofErr w:type="gramStart"/>
      <w:r w:rsidRPr="00297467">
        <w:rPr>
          <w:sz w:val="24"/>
          <w:szCs w:val="24"/>
          <w:lang w:val="bg-BG"/>
        </w:rPr>
        <w:t>до</w:t>
      </w:r>
      <w:proofErr w:type="gramEnd"/>
      <w:r w:rsidRPr="00297467">
        <w:rPr>
          <w:sz w:val="24"/>
          <w:szCs w:val="24"/>
          <w:lang w:val="bg-BG"/>
        </w:rPr>
        <w:t xml:space="preserve">  2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i/>
          <w:iCs/>
          <w:sz w:val="24"/>
          <w:szCs w:val="24"/>
          <w:lang w:val="bg-BG"/>
        </w:rPr>
      </w:pPr>
      <w:r w:rsidRPr="00297467">
        <w:rPr>
          <w:i/>
          <w:iCs/>
          <w:sz w:val="24"/>
          <w:szCs w:val="24"/>
          <w:lang w:val="bg-BG"/>
        </w:rPr>
        <w:t xml:space="preserve">      (</w:t>
      </w:r>
      <w:proofErr w:type="gramStart"/>
      <w:r w:rsidRPr="00297467">
        <w:rPr>
          <w:i/>
          <w:iCs/>
          <w:sz w:val="24"/>
          <w:szCs w:val="24"/>
          <w:lang w:val="bg-BG"/>
        </w:rPr>
        <w:t>съгласно</w:t>
      </w:r>
      <w:proofErr w:type="gramEnd"/>
      <w:r w:rsidRPr="00297467">
        <w:rPr>
          <w:i/>
          <w:iCs/>
          <w:sz w:val="24"/>
          <w:szCs w:val="24"/>
          <w:lang w:val="bg-BG"/>
        </w:rPr>
        <w:t xml:space="preserve"> техническите изисквания min 24 месеца)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по</w:t>
      </w:r>
      <w:proofErr w:type="gramEnd"/>
      <w:r w:rsidRPr="00297467">
        <w:rPr>
          <w:sz w:val="24"/>
          <w:szCs w:val="24"/>
          <w:lang w:val="bg-BG"/>
        </w:rPr>
        <w:t xml:space="preserve"> формулата:</w:t>
      </w:r>
      <w:r w:rsidRPr="00297467">
        <w:rPr>
          <w:sz w:val="24"/>
          <w:szCs w:val="24"/>
          <w:lang w:val="bg-BG"/>
        </w:rPr>
        <w:tab/>
        <w:t xml:space="preserve"> </w:t>
      </w:r>
      <w:r w:rsidRPr="00297467">
        <w:rPr>
          <w:sz w:val="24"/>
          <w:szCs w:val="24"/>
          <w:u w:val="single"/>
          <w:lang w:val="bg-BG"/>
        </w:rPr>
        <w:t xml:space="preserve"> </w:t>
      </w:r>
      <w:r w:rsidR="00A909DB" w:rsidRPr="00297467">
        <w:rPr>
          <w:sz w:val="24"/>
          <w:szCs w:val="24"/>
          <w:u w:val="single"/>
          <w:lang w:val="bg-BG"/>
        </w:rPr>
        <w:t xml:space="preserve"> </w:t>
      </w:r>
      <w:r w:rsidRPr="00297467">
        <w:rPr>
          <w:sz w:val="24"/>
          <w:szCs w:val="24"/>
          <w:u w:val="single"/>
          <w:lang w:val="bg-BG"/>
        </w:rPr>
        <w:t xml:space="preserve">S </w:t>
      </w:r>
      <w:proofErr w:type="gramStart"/>
      <w:r w:rsidRPr="00297467">
        <w:rPr>
          <w:sz w:val="24"/>
          <w:szCs w:val="24"/>
          <w:u w:val="single"/>
          <w:lang w:val="bg-BG"/>
        </w:rPr>
        <w:t xml:space="preserve">n   </w:t>
      </w:r>
      <w:r w:rsidRPr="00297467">
        <w:rPr>
          <w:sz w:val="24"/>
          <w:szCs w:val="24"/>
          <w:lang w:val="bg-BG"/>
        </w:rPr>
        <w:t xml:space="preserve">   x</w:t>
      </w:r>
      <w:proofErr w:type="gramEnd"/>
      <w:r w:rsidRPr="00297467">
        <w:rPr>
          <w:sz w:val="24"/>
          <w:szCs w:val="24"/>
          <w:lang w:val="bg-BG"/>
        </w:rPr>
        <w:t xml:space="preserve">  2 =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  S </w:t>
      </w:r>
      <w:proofErr w:type="gramStart"/>
      <w:r w:rsidRPr="00297467">
        <w:rPr>
          <w:sz w:val="24"/>
          <w:szCs w:val="24"/>
          <w:lang w:val="bg-BG"/>
        </w:rPr>
        <w:t xml:space="preserve">max                 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i/>
          <w:iCs/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>S n</w:t>
      </w:r>
      <w:r w:rsidRPr="00297467">
        <w:rPr>
          <w:i/>
          <w:iCs/>
          <w:sz w:val="24"/>
          <w:szCs w:val="24"/>
          <w:lang w:val="bg-BG"/>
        </w:rPr>
        <w:t xml:space="preserve"> - гаранционен срок от конкретното </w:t>
      </w:r>
      <w:proofErr w:type="gramStart"/>
      <w:r w:rsidRPr="00297467">
        <w:rPr>
          <w:i/>
          <w:iCs/>
          <w:sz w:val="24"/>
          <w:szCs w:val="24"/>
          <w:lang w:val="bg-BG"/>
        </w:rPr>
        <w:t xml:space="preserve">предложение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>S max</w:t>
      </w:r>
      <w:r w:rsidRPr="00297467">
        <w:rPr>
          <w:i/>
          <w:iCs/>
          <w:sz w:val="24"/>
          <w:szCs w:val="24"/>
          <w:lang w:val="bg-BG"/>
        </w:rPr>
        <w:t xml:space="preserve"> - най-дългия гаранционен срок от всички </w:t>
      </w:r>
      <w:proofErr w:type="gramStart"/>
      <w:r w:rsidRPr="00297467">
        <w:rPr>
          <w:i/>
          <w:iCs/>
          <w:sz w:val="24"/>
          <w:szCs w:val="24"/>
          <w:lang w:val="bg-BG"/>
        </w:rPr>
        <w:t>предложения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i/>
          <w:iCs/>
          <w:sz w:val="24"/>
          <w:szCs w:val="24"/>
          <w:lang w:val="bg-BG"/>
        </w:rPr>
      </w:pPr>
    </w:p>
    <w:p w:rsidR="0098635F" w:rsidRPr="00297467" w:rsidRDefault="0098635F" w:rsidP="0098635F">
      <w:pPr>
        <w:spacing w:after="120"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lastRenderedPageBreak/>
        <w:t xml:space="preserve">2.2. </w:t>
      </w:r>
      <w:r w:rsidRPr="00297467">
        <w:rPr>
          <w:sz w:val="24"/>
          <w:szCs w:val="24"/>
          <w:u w:val="single"/>
          <w:lang w:val="bg-BG"/>
        </w:rPr>
        <w:t>Гаранционен срок за силовите агрегати (</w:t>
      </w:r>
      <w:proofErr w:type="gramStart"/>
      <w:r w:rsidRPr="00297467">
        <w:rPr>
          <w:sz w:val="24"/>
          <w:szCs w:val="24"/>
          <w:u w:val="single"/>
          <w:lang w:val="bg-BG"/>
        </w:rPr>
        <w:t>А)</w:t>
      </w:r>
      <w:proofErr w:type="gramEnd"/>
      <w:r w:rsidRPr="00297467">
        <w:rPr>
          <w:sz w:val="24"/>
          <w:szCs w:val="24"/>
          <w:lang w:val="bg-BG"/>
        </w:rPr>
        <w:tab/>
      </w:r>
      <w:r w:rsidR="00A909DB" w:rsidRPr="00297467">
        <w:rPr>
          <w:sz w:val="24"/>
          <w:szCs w:val="24"/>
          <w:lang w:val="bg-BG"/>
        </w:rPr>
        <w:t xml:space="preserve"> </w:t>
      </w:r>
      <w:r w:rsidRPr="00297467">
        <w:rPr>
          <w:sz w:val="24"/>
          <w:szCs w:val="24"/>
          <w:lang w:val="bg-BG"/>
        </w:rPr>
        <w:t xml:space="preserve">- 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   </w:t>
      </w:r>
      <w:r w:rsidRPr="00297467">
        <w:rPr>
          <w:sz w:val="24"/>
          <w:szCs w:val="24"/>
          <w:lang w:val="bg-BG"/>
        </w:rPr>
        <w:tab/>
        <w:t xml:space="preserve"> </w:t>
      </w:r>
      <w:r w:rsidRPr="00297467">
        <w:rPr>
          <w:sz w:val="24"/>
          <w:szCs w:val="24"/>
          <w:lang w:val="bg-BG"/>
        </w:rPr>
        <w:tab/>
        <w:t xml:space="preserve">  </w:t>
      </w:r>
      <w:proofErr w:type="gramStart"/>
      <w:r w:rsidRPr="00297467">
        <w:rPr>
          <w:sz w:val="24"/>
          <w:szCs w:val="24"/>
          <w:lang w:val="bg-BG"/>
        </w:rPr>
        <w:t>до</w:t>
      </w:r>
      <w:proofErr w:type="gramEnd"/>
      <w:r w:rsidRPr="00297467">
        <w:rPr>
          <w:sz w:val="24"/>
          <w:szCs w:val="24"/>
          <w:lang w:val="bg-BG"/>
        </w:rPr>
        <w:t xml:space="preserve">  2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    (</w:t>
      </w:r>
      <w:proofErr w:type="gramStart"/>
      <w:r w:rsidRPr="00297467">
        <w:rPr>
          <w:sz w:val="24"/>
          <w:szCs w:val="24"/>
          <w:lang w:val="bg-BG"/>
        </w:rPr>
        <w:t>двигател</w:t>
      </w:r>
      <w:proofErr w:type="gramEnd"/>
      <w:r w:rsidRPr="00297467">
        <w:rPr>
          <w:sz w:val="24"/>
          <w:szCs w:val="24"/>
          <w:lang w:val="bg-BG"/>
        </w:rPr>
        <w:t>, скоростна кутия, диференциал и колесен редуктор, кормилна кутия)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i/>
          <w:iCs/>
          <w:sz w:val="24"/>
          <w:szCs w:val="24"/>
          <w:lang w:val="bg-BG"/>
        </w:rPr>
      </w:pPr>
      <w:r w:rsidRPr="00297467">
        <w:rPr>
          <w:i/>
          <w:iCs/>
          <w:sz w:val="24"/>
          <w:szCs w:val="24"/>
          <w:lang w:val="bg-BG"/>
        </w:rPr>
        <w:t xml:space="preserve">      (</w:t>
      </w:r>
      <w:proofErr w:type="gramStart"/>
      <w:r w:rsidRPr="00297467">
        <w:rPr>
          <w:i/>
          <w:iCs/>
          <w:sz w:val="24"/>
          <w:szCs w:val="24"/>
          <w:lang w:val="bg-BG"/>
        </w:rPr>
        <w:t>съгласно</w:t>
      </w:r>
      <w:proofErr w:type="gramEnd"/>
      <w:r w:rsidRPr="00297467">
        <w:rPr>
          <w:i/>
          <w:iCs/>
          <w:sz w:val="24"/>
          <w:szCs w:val="24"/>
          <w:lang w:val="bg-BG"/>
        </w:rPr>
        <w:t xml:space="preserve"> техническите изисквания min 24 месеца)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по</w:t>
      </w:r>
      <w:proofErr w:type="gramEnd"/>
      <w:r w:rsidRPr="00297467">
        <w:rPr>
          <w:sz w:val="24"/>
          <w:szCs w:val="24"/>
          <w:lang w:val="bg-BG"/>
        </w:rPr>
        <w:t xml:space="preserve"> формулата:</w:t>
      </w:r>
      <w:r w:rsidRPr="00297467">
        <w:rPr>
          <w:sz w:val="24"/>
          <w:szCs w:val="24"/>
          <w:lang w:val="bg-BG"/>
        </w:rPr>
        <w:tab/>
        <w:t xml:space="preserve">  </w:t>
      </w:r>
      <w:r w:rsidR="00A909DB" w:rsidRPr="00297467">
        <w:rPr>
          <w:sz w:val="24"/>
          <w:szCs w:val="24"/>
          <w:lang w:val="bg-BG"/>
        </w:rPr>
        <w:t xml:space="preserve"> </w:t>
      </w:r>
      <w:r w:rsidRPr="00297467">
        <w:rPr>
          <w:sz w:val="24"/>
          <w:szCs w:val="24"/>
          <w:u w:val="single"/>
          <w:lang w:val="bg-BG"/>
        </w:rPr>
        <w:t xml:space="preserve"> </w:t>
      </w:r>
      <w:r w:rsidR="00A909DB" w:rsidRPr="00297467">
        <w:rPr>
          <w:sz w:val="24"/>
          <w:szCs w:val="24"/>
          <w:u w:val="single"/>
          <w:lang w:val="bg-BG"/>
        </w:rPr>
        <w:t xml:space="preserve">  </w:t>
      </w:r>
      <w:r w:rsidRPr="00297467">
        <w:rPr>
          <w:sz w:val="24"/>
          <w:szCs w:val="24"/>
          <w:u w:val="single"/>
          <w:lang w:val="bg-BG"/>
        </w:rPr>
        <w:t xml:space="preserve">A </w:t>
      </w:r>
      <w:proofErr w:type="gramStart"/>
      <w:r w:rsidRPr="00297467">
        <w:rPr>
          <w:sz w:val="24"/>
          <w:szCs w:val="24"/>
          <w:u w:val="single"/>
          <w:lang w:val="bg-BG"/>
        </w:rPr>
        <w:t xml:space="preserve">n  </w:t>
      </w:r>
      <w:r w:rsidRPr="00297467">
        <w:rPr>
          <w:sz w:val="24"/>
          <w:szCs w:val="24"/>
          <w:lang w:val="bg-BG"/>
        </w:rPr>
        <w:t xml:space="preserve">   x</w:t>
      </w:r>
      <w:proofErr w:type="gramEnd"/>
      <w:r w:rsidRPr="00297467">
        <w:rPr>
          <w:sz w:val="24"/>
          <w:szCs w:val="24"/>
          <w:lang w:val="bg-BG"/>
        </w:rPr>
        <w:t xml:space="preserve">  2 =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  </w:t>
      </w:r>
      <w:r w:rsidR="00A909DB" w:rsidRPr="00297467">
        <w:rPr>
          <w:sz w:val="24"/>
          <w:szCs w:val="24"/>
          <w:lang w:val="bg-BG"/>
        </w:rPr>
        <w:t xml:space="preserve"> </w:t>
      </w:r>
      <w:r w:rsidRPr="00297467">
        <w:rPr>
          <w:sz w:val="24"/>
          <w:szCs w:val="24"/>
          <w:lang w:val="bg-BG"/>
        </w:rPr>
        <w:t xml:space="preserve"> A </w:t>
      </w:r>
      <w:proofErr w:type="gramStart"/>
      <w:r w:rsidRPr="00297467">
        <w:rPr>
          <w:sz w:val="24"/>
          <w:szCs w:val="24"/>
          <w:lang w:val="bg-BG"/>
        </w:rPr>
        <w:t xml:space="preserve">max                     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>A n</w:t>
      </w:r>
      <w:r w:rsidRPr="00297467">
        <w:rPr>
          <w:i/>
          <w:iCs/>
          <w:sz w:val="24"/>
          <w:szCs w:val="24"/>
          <w:lang w:val="bg-BG"/>
        </w:rPr>
        <w:t xml:space="preserve"> - гаранционен срок от конкретното </w:t>
      </w:r>
      <w:proofErr w:type="gramStart"/>
      <w:r w:rsidRPr="00297467">
        <w:rPr>
          <w:i/>
          <w:iCs/>
          <w:sz w:val="24"/>
          <w:szCs w:val="24"/>
          <w:lang w:val="bg-BG"/>
        </w:rPr>
        <w:t>предложение</w:t>
      </w:r>
      <w:r w:rsidRPr="00297467">
        <w:rPr>
          <w:sz w:val="24"/>
          <w:szCs w:val="24"/>
          <w:lang w:val="bg-BG"/>
        </w:rPr>
        <w:t xml:space="preserve">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>A max</w:t>
      </w:r>
      <w:r w:rsidRPr="00297467">
        <w:rPr>
          <w:i/>
          <w:iCs/>
          <w:sz w:val="24"/>
          <w:szCs w:val="24"/>
          <w:lang w:val="bg-BG"/>
        </w:rPr>
        <w:t xml:space="preserve"> - най-дългия гаранционен срок от всички </w:t>
      </w:r>
      <w:proofErr w:type="gramStart"/>
      <w:r w:rsidRPr="00297467">
        <w:rPr>
          <w:i/>
          <w:iCs/>
          <w:sz w:val="24"/>
          <w:szCs w:val="24"/>
          <w:lang w:val="bg-BG"/>
        </w:rPr>
        <w:t>предложения</w:t>
      </w:r>
      <w:r w:rsidRPr="00297467">
        <w:rPr>
          <w:sz w:val="24"/>
          <w:szCs w:val="24"/>
          <w:lang w:val="bg-BG"/>
        </w:rPr>
        <w:t xml:space="preserve">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i/>
          <w:iCs/>
          <w:sz w:val="24"/>
          <w:szCs w:val="24"/>
          <w:lang w:val="bg-BG"/>
        </w:rPr>
      </w:pPr>
    </w:p>
    <w:p w:rsidR="0098635F" w:rsidRPr="00297467" w:rsidRDefault="0098635F" w:rsidP="0098635F">
      <w:pPr>
        <w:spacing w:after="120"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2.3. </w:t>
      </w:r>
      <w:r w:rsidRPr="00297467">
        <w:rPr>
          <w:sz w:val="24"/>
          <w:szCs w:val="24"/>
          <w:u w:val="single"/>
          <w:lang w:val="bg-BG"/>
        </w:rPr>
        <w:t>Гаранционен срок за антикорозионно покритие и хидроизолация (L)</w:t>
      </w:r>
      <w:r w:rsidRPr="00297467">
        <w:rPr>
          <w:sz w:val="24"/>
          <w:szCs w:val="24"/>
          <w:lang w:val="bg-BG"/>
        </w:rPr>
        <w:t xml:space="preserve"> -</w:t>
      </w:r>
      <w:r w:rsidR="00A909DB" w:rsidRPr="00297467">
        <w:rPr>
          <w:sz w:val="24"/>
          <w:szCs w:val="24"/>
          <w:lang w:val="bg-BG"/>
        </w:rPr>
        <w:t xml:space="preserve"> </w:t>
      </w:r>
      <w:r w:rsidRPr="00297467">
        <w:rPr>
          <w:sz w:val="24"/>
          <w:szCs w:val="24"/>
          <w:lang w:val="bg-BG"/>
        </w:rPr>
        <w:tab/>
        <w:t>до  1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i/>
          <w:iCs/>
          <w:sz w:val="24"/>
          <w:szCs w:val="24"/>
          <w:lang w:val="bg-BG"/>
        </w:rPr>
      </w:pPr>
      <w:r w:rsidRPr="00297467">
        <w:rPr>
          <w:i/>
          <w:iCs/>
          <w:sz w:val="24"/>
          <w:szCs w:val="24"/>
          <w:lang w:val="bg-BG"/>
        </w:rPr>
        <w:t xml:space="preserve">      (съгласно техническите изисквания min 120 месеца)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по</w:t>
      </w:r>
      <w:proofErr w:type="gramEnd"/>
      <w:r w:rsidRPr="00297467">
        <w:rPr>
          <w:sz w:val="24"/>
          <w:szCs w:val="24"/>
          <w:lang w:val="bg-BG"/>
        </w:rPr>
        <w:t xml:space="preserve"> формулата: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u w:val="single"/>
          <w:lang w:val="bg-BG"/>
        </w:rPr>
        <w:t xml:space="preserve">  </w:t>
      </w:r>
      <w:r w:rsidR="00A909DB" w:rsidRPr="00297467">
        <w:rPr>
          <w:sz w:val="24"/>
          <w:szCs w:val="24"/>
          <w:u w:val="single"/>
          <w:lang w:val="bg-BG"/>
        </w:rPr>
        <w:t xml:space="preserve"> </w:t>
      </w:r>
      <w:r w:rsidRPr="00297467">
        <w:rPr>
          <w:sz w:val="24"/>
          <w:szCs w:val="24"/>
          <w:u w:val="single"/>
          <w:lang w:val="bg-BG"/>
        </w:rPr>
        <w:t xml:space="preserve">L </w:t>
      </w:r>
      <w:proofErr w:type="gramStart"/>
      <w:r w:rsidRPr="00297467">
        <w:rPr>
          <w:sz w:val="24"/>
          <w:szCs w:val="24"/>
          <w:u w:val="single"/>
          <w:lang w:val="bg-BG"/>
        </w:rPr>
        <w:t xml:space="preserve">n   </w:t>
      </w:r>
      <w:r w:rsidRPr="00297467">
        <w:rPr>
          <w:sz w:val="24"/>
          <w:szCs w:val="24"/>
          <w:lang w:val="bg-BG"/>
        </w:rPr>
        <w:t xml:space="preserve">   x</w:t>
      </w:r>
      <w:proofErr w:type="gramEnd"/>
      <w:r w:rsidRPr="00297467">
        <w:rPr>
          <w:sz w:val="24"/>
          <w:szCs w:val="24"/>
          <w:lang w:val="bg-BG"/>
        </w:rPr>
        <w:t xml:space="preserve">  1 =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  L </w:t>
      </w:r>
      <w:proofErr w:type="gramStart"/>
      <w:r w:rsidRPr="00297467">
        <w:rPr>
          <w:sz w:val="24"/>
          <w:szCs w:val="24"/>
          <w:lang w:val="bg-BG"/>
        </w:rPr>
        <w:t xml:space="preserve">max                   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L n</w:t>
      </w:r>
      <w:r w:rsidRPr="00297467">
        <w:rPr>
          <w:i/>
          <w:iCs/>
          <w:sz w:val="24"/>
          <w:szCs w:val="24"/>
          <w:lang w:val="bg-BG"/>
        </w:rPr>
        <w:t xml:space="preserve"> - гаранционен срок от конкретното </w:t>
      </w:r>
      <w:proofErr w:type="gramStart"/>
      <w:r w:rsidRPr="00297467">
        <w:rPr>
          <w:i/>
          <w:iCs/>
          <w:sz w:val="24"/>
          <w:szCs w:val="24"/>
          <w:lang w:val="bg-BG"/>
        </w:rPr>
        <w:t xml:space="preserve">предложение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i/>
          <w:iCs/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L max</w:t>
      </w:r>
      <w:r w:rsidRPr="00297467">
        <w:rPr>
          <w:i/>
          <w:iCs/>
          <w:sz w:val="24"/>
          <w:szCs w:val="24"/>
          <w:lang w:val="bg-BG"/>
        </w:rPr>
        <w:t xml:space="preserve"> - най-дългия гаранционен срок от всички </w:t>
      </w:r>
      <w:proofErr w:type="gramStart"/>
      <w:r w:rsidRPr="00297467">
        <w:rPr>
          <w:i/>
          <w:iCs/>
          <w:sz w:val="24"/>
          <w:szCs w:val="24"/>
          <w:lang w:val="bg-BG"/>
        </w:rPr>
        <w:t xml:space="preserve">предложения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>3. ТЕХНИЧЕСКА ХАРАКТЕРИСТИКА НА ПРЕДЛАГАНИТЕ АВТОБУСИ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 xml:space="preserve"> - </w:t>
      </w:r>
      <w:proofErr w:type="gramStart"/>
      <w:r w:rsidRPr="00297467">
        <w:rPr>
          <w:b/>
          <w:bCs/>
          <w:sz w:val="24"/>
          <w:szCs w:val="24"/>
          <w:lang w:val="bg-BG"/>
        </w:rPr>
        <w:t>ТЕЖЕСТ  20</w:t>
      </w:r>
      <w:proofErr w:type="gramEnd"/>
      <w:r w:rsidRPr="00297467">
        <w:rPr>
          <w:b/>
          <w:bCs/>
          <w:sz w:val="24"/>
          <w:szCs w:val="24"/>
          <w:lang w:val="bg-BG"/>
        </w:rPr>
        <w:t xml:space="preserve"> % (20 т.)</w:t>
      </w:r>
      <w:r w:rsidRPr="00297467">
        <w:rPr>
          <w:sz w:val="24"/>
          <w:szCs w:val="24"/>
          <w:lang w:val="bg-BG"/>
        </w:rPr>
        <w:t>, в т. ч.: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</w:p>
    <w:p w:rsidR="0098635F" w:rsidRPr="00297467" w:rsidRDefault="0098635F" w:rsidP="0098635F">
      <w:pPr>
        <w:pStyle w:val="BodyTextIndent"/>
        <w:spacing w:after="120"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3.1. </w:t>
      </w:r>
      <w:r w:rsidRPr="00297467">
        <w:rPr>
          <w:sz w:val="24"/>
          <w:szCs w:val="24"/>
          <w:u w:val="single"/>
        </w:rPr>
        <w:t>Специфичен разход на гориво (Rg) в g/kWh</w:t>
      </w:r>
      <w:r w:rsidRPr="00297467">
        <w:rPr>
          <w:sz w:val="24"/>
          <w:szCs w:val="24"/>
        </w:rPr>
        <w:tab/>
      </w:r>
      <w:r w:rsidRPr="00297467">
        <w:rPr>
          <w:sz w:val="24"/>
          <w:szCs w:val="24"/>
        </w:rPr>
        <w:tab/>
        <w:t xml:space="preserve">     - </w:t>
      </w:r>
      <w:r w:rsidRPr="00297467">
        <w:rPr>
          <w:sz w:val="24"/>
          <w:szCs w:val="24"/>
        </w:rPr>
        <w:tab/>
      </w:r>
      <w:r w:rsidRPr="00297467">
        <w:rPr>
          <w:sz w:val="24"/>
          <w:szCs w:val="24"/>
        </w:rPr>
        <w:tab/>
      </w:r>
      <w:r w:rsidRPr="00297467">
        <w:rPr>
          <w:sz w:val="24"/>
          <w:szCs w:val="24"/>
        </w:rPr>
        <w:tab/>
        <w:t>до 7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>по формулата:</w:t>
      </w:r>
      <w:r w:rsidRPr="00297467">
        <w:rPr>
          <w:sz w:val="24"/>
          <w:szCs w:val="24"/>
        </w:rPr>
        <w:tab/>
      </w:r>
      <w:r w:rsidRPr="00297467">
        <w:rPr>
          <w:sz w:val="24"/>
          <w:szCs w:val="24"/>
          <w:u w:val="single"/>
        </w:rPr>
        <w:t>R g min</w:t>
      </w:r>
      <w:r w:rsidRPr="00297467">
        <w:rPr>
          <w:sz w:val="24"/>
          <w:szCs w:val="24"/>
        </w:rPr>
        <w:t xml:space="preserve">  x 7 =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  </w:t>
      </w:r>
      <w:r w:rsidRPr="00297467">
        <w:rPr>
          <w:sz w:val="24"/>
          <w:szCs w:val="24"/>
        </w:rPr>
        <w:tab/>
      </w:r>
      <w:r w:rsidRPr="00297467">
        <w:rPr>
          <w:sz w:val="24"/>
          <w:szCs w:val="24"/>
        </w:rPr>
        <w:tab/>
      </w:r>
      <w:r w:rsidRPr="00297467">
        <w:rPr>
          <w:sz w:val="24"/>
          <w:szCs w:val="24"/>
        </w:rPr>
        <w:tab/>
      </w:r>
      <w:r w:rsidR="00A909DB" w:rsidRPr="00297467">
        <w:rPr>
          <w:sz w:val="24"/>
          <w:szCs w:val="24"/>
        </w:rPr>
        <w:t xml:space="preserve">  </w:t>
      </w:r>
      <w:r w:rsidRPr="00297467">
        <w:rPr>
          <w:sz w:val="24"/>
          <w:szCs w:val="24"/>
        </w:rPr>
        <w:t xml:space="preserve">R g n                        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proofErr w:type="gramStart"/>
      <w:r w:rsidRPr="00297467">
        <w:rPr>
          <w:sz w:val="24"/>
          <w:szCs w:val="24"/>
        </w:rPr>
        <w:t>където</w:t>
      </w:r>
      <w:proofErr w:type="gramEnd"/>
      <w:r w:rsidRPr="00297467">
        <w:rPr>
          <w:sz w:val="24"/>
          <w:szCs w:val="24"/>
        </w:rPr>
        <w:t xml:space="preserve"> R g min - най-нисък разход от всички оферти 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            R g n - разход на от конкретната </w:t>
      </w:r>
      <w:proofErr w:type="gramStart"/>
      <w:r w:rsidRPr="00297467">
        <w:rPr>
          <w:sz w:val="24"/>
          <w:szCs w:val="24"/>
        </w:rPr>
        <w:t xml:space="preserve">оферта </w:t>
      </w:r>
      <w:proofErr w:type="gramEnd"/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proofErr w:type="gramStart"/>
      <w:r w:rsidRPr="00297467">
        <w:rPr>
          <w:sz w:val="24"/>
          <w:szCs w:val="24"/>
        </w:rPr>
        <w:t>съгласно</w:t>
      </w:r>
      <w:proofErr w:type="gramEnd"/>
      <w:r w:rsidRPr="00297467">
        <w:rPr>
          <w:sz w:val="24"/>
          <w:szCs w:val="24"/>
        </w:rPr>
        <w:t xml:space="preserve"> Правило 85 на ИКЕ, съответно Директива 80/1269 и 89/491 на ЕС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</w:p>
    <w:p w:rsidR="0098635F" w:rsidRPr="00297467" w:rsidRDefault="0098635F" w:rsidP="0098635F">
      <w:pPr>
        <w:spacing w:after="120"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3.2. </w:t>
      </w:r>
      <w:r w:rsidRPr="00297467">
        <w:rPr>
          <w:sz w:val="24"/>
          <w:szCs w:val="24"/>
          <w:u w:val="single"/>
          <w:lang w:val="bg-BG"/>
        </w:rPr>
        <w:t>Специфична мощност (Р) в kW/t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>-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>до 3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по формулата:     </w:t>
      </w:r>
      <w:r w:rsidRPr="00297467">
        <w:rPr>
          <w:sz w:val="24"/>
          <w:szCs w:val="24"/>
          <w:u w:val="single"/>
        </w:rPr>
        <w:t xml:space="preserve">   Р n  </w:t>
      </w:r>
      <w:r w:rsidRPr="00297467">
        <w:rPr>
          <w:sz w:val="24"/>
          <w:szCs w:val="24"/>
        </w:rPr>
        <w:t xml:space="preserve">     x 3 =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     </w:t>
      </w:r>
      <w:r w:rsidRPr="00297467">
        <w:rPr>
          <w:sz w:val="24"/>
          <w:szCs w:val="24"/>
          <w:lang w:val="bg-BG"/>
        </w:rPr>
        <w:tab/>
        <w:t xml:space="preserve">   </w:t>
      </w:r>
      <w:r w:rsidRPr="00297467">
        <w:rPr>
          <w:sz w:val="24"/>
          <w:szCs w:val="24"/>
          <w:lang w:val="bg-BG"/>
        </w:rPr>
        <w:tab/>
        <w:t xml:space="preserve">       </w:t>
      </w:r>
      <w:r w:rsidR="00A909DB" w:rsidRPr="00297467">
        <w:rPr>
          <w:sz w:val="24"/>
          <w:szCs w:val="24"/>
          <w:lang w:val="bg-BG"/>
        </w:rPr>
        <w:t xml:space="preserve"> </w:t>
      </w:r>
      <w:r w:rsidRPr="00297467">
        <w:rPr>
          <w:sz w:val="24"/>
          <w:szCs w:val="24"/>
          <w:lang w:val="bg-BG"/>
        </w:rPr>
        <w:t xml:space="preserve">Р max                  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където</w:t>
      </w:r>
      <w:proofErr w:type="gramEnd"/>
      <w:r w:rsidRPr="00297467">
        <w:rPr>
          <w:sz w:val="24"/>
          <w:szCs w:val="24"/>
          <w:lang w:val="bg-BG"/>
        </w:rPr>
        <w:t xml:space="preserve"> kW - максимална мощност на двигателя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       </w:t>
      </w:r>
      <w:proofErr w:type="gramStart"/>
      <w:r w:rsidRPr="00297467">
        <w:rPr>
          <w:sz w:val="24"/>
          <w:szCs w:val="24"/>
          <w:lang w:val="bg-BG"/>
        </w:rPr>
        <w:t>t -  пълна</w:t>
      </w:r>
      <w:proofErr w:type="gramEnd"/>
      <w:r w:rsidRPr="00297467">
        <w:rPr>
          <w:sz w:val="24"/>
          <w:szCs w:val="24"/>
          <w:lang w:val="bg-BG"/>
        </w:rPr>
        <w:t xml:space="preserve"> маса на автобуса (тона)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       </w:t>
      </w:r>
      <w:proofErr w:type="gramStart"/>
      <w:r w:rsidRPr="00297467">
        <w:rPr>
          <w:sz w:val="24"/>
          <w:szCs w:val="24"/>
          <w:lang w:val="bg-BG"/>
        </w:rPr>
        <w:t>Р  max</w:t>
      </w:r>
      <w:proofErr w:type="gramEnd"/>
      <w:r w:rsidRPr="00297467">
        <w:rPr>
          <w:sz w:val="24"/>
          <w:szCs w:val="24"/>
          <w:lang w:val="bg-BG"/>
        </w:rPr>
        <w:t xml:space="preserve"> - най-голямата специфична мощност от всички оферти 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         Р n - специфична мощност от конкретната </w:t>
      </w:r>
      <w:proofErr w:type="gramStart"/>
      <w:r w:rsidRPr="00297467">
        <w:rPr>
          <w:sz w:val="24"/>
          <w:szCs w:val="24"/>
          <w:lang w:val="bg-BG"/>
        </w:rPr>
        <w:t xml:space="preserve">оферта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98635F" w:rsidRPr="00297467" w:rsidRDefault="0098635F" w:rsidP="0098635F">
      <w:pPr>
        <w:spacing w:after="120"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3.3 </w:t>
      </w:r>
      <w:r w:rsidRPr="00297467">
        <w:rPr>
          <w:sz w:val="24"/>
          <w:szCs w:val="24"/>
          <w:u w:val="single"/>
          <w:lang w:val="bg-BG"/>
        </w:rPr>
        <w:t>Литрова мощност (Р/V) в кW/dm</w:t>
      </w:r>
      <w:r w:rsidRPr="00297467">
        <w:rPr>
          <w:sz w:val="32"/>
          <w:szCs w:val="32"/>
          <w:lang w:val="bg-BG"/>
        </w:rPr>
        <w:t>³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 xml:space="preserve">- </w:t>
      </w:r>
      <w:r w:rsidRPr="00297467">
        <w:rPr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ab/>
        <w:t>до 10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>по формулата:</w:t>
      </w:r>
      <w:r w:rsidRPr="00297467">
        <w:rPr>
          <w:sz w:val="24"/>
          <w:szCs w:val="24"/>
        </w:rPr>
        <w:tab/>
        <w:t xml:space="preserve">  </w:t>
      </w:r>
      <w:r w:rsidR="00A909DB" w:rsidRPr="00297467">
        <w:rPr>
          <w:sz w:val="24"/>
          <w:szCs w:val="24"/>
        </w:rPr>
        <w:t xml:space="preserve"> </w:t>
      </w:r>
      <w:r w:rsidRPr="00297467">
        <w:rPr>
          <w:sz w:val="24"/>
          <w:szCs w:val="24"/>
          <w:u w:val="single"/>
        </w:rPr>
        <w:t xml:space="preserve">   </w:t>
      </w:r>
      <w:r w:rsidR="00A909DB" w:rsidRPr="00297467">
        <w:rPr>
          <w:sz w:val="24"/>
          <w:szCs w:val="24"/>
          <w:u w:val="single"/>
        </w:rPr>
        <w:t xml:space="preserve"> </w:t>
      </w:r>
      <w:r w:rsidRPr="00297467">
        <w:rPr>
          <w:sz w:val="24"/>
          <w:szCs w:val="24"/>
          <w:u w:val="single"/>
        </w:rPr>
        <w:t xml:space="preserve">P/Vдв. n  </w:t>
      </w:r>
      <w:r w:rsidRPr="00297467">
        <w:rPr>
          <w:sz w:val="24"/>
          <w:szCs w:val="24"/>
        </w:rPr>
        <w:t xml:space="preserve">  x 10 = т.</w:t>
      </w:r>
    </w:p>
    <w:p w:rsidR="0098635F" w:rsidRPr="00297467" w:rsidRDefault="0098635F" w:rsidP="0098635F">
      <w:pPr>
        <w:pStyle w:val="BodyTextIndent"/>
        <w:spacing w:line="276" w:lineRule="auto"/>
        <w:ind w:right="-2" w:firstLine="0"/>
        <w:rPr>
          <w:sz w:val="24"/>
          <w:szCs w:val="24"/>
        </w:rPr>
      </w:pPr>
      <w:r w:rsidRPr="00297467">
        <w:rPr>
          <w:sz w:val="24"/>
          <w:szCs w:val="24"/>
        </w:rPr>
        <w:t xml:space="preserve">                                      P/Vдв. max                  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където</w:t>
      </w:r>
      <w:proofErr w:type="gramEnd"/>
      <w:r w:rsidRPr="00297467">
        <w:rPr>
          <w:sz w:val="24"/>
          <w:szCs w:val="24"/>
          <w:lang w:val="bg-BG"/>
        </w:rPr>
        <w:t xml:space="preserve"> литровата мощност представлява съотношение между максималната мощност  P(kW) и работния обем Vдв.(dm</w:t>
      </w:r>
      <w:r w:rsidRPr="00297467">
        <w:rPr>
          <w:sz w:val="32"/>
          <w:szCs w:val="32"/>
          <w:lang w:val="bg-BG"/>
        </w:rPr>
        <w:t>³</w:t>
      </w:r>
      <w:r w:rsidRPr="00297467">
        <w:rPr>
          <w:sz w:val="24"/>
          <w:szCs w:val="24"/>
          <w:lang w:val="bg-BG"/>
        </w:rPr>
        <w:t xml:space="preserve">) на </w:t>
      </w:r>
      <w:proofErr w:type="gramStart"/>
      <w:r w:rsidRPr="00297467">
        <w:rPr>
          <w:sz w:val="24"/>
          <w:szCs w:val="24"/>
          <w:lang w:val="bg-BG"/>
        </w:rPr>
        <w:t xml:space="preserve">двигателя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P/Vдв. n – литрова мощност от конкретната </w:t>
      </w:r>
      <w:proofErr w:type="gramStart"/>
      <w:r w:rsidRPr="00297467">
        <w:rPr>
          <w:sz w:val="24"/>
          <w:szCs w:val="24"/>
          <w:lang w:val="bg-BG"/>
        </w:rPr>
        <w:t xml:space="preserve">оферта 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P/Vдв. max - най-голямата литрова мощност от всички </w:t>
      </w:r>
      <w:proofErr w:type="gramStart"/>
      <w:r w:rsidRPr="00297467">
        <w:rPr>
          <w:sz w:val="24"/>
          <w:szCs w:val="24"/>
          <w:lang w:val="bg-BG"/>
        </w:rPr>
        <w:t>оферти</w:t>
      </w:r>
      <w:proofErr w:type="gramEnd"/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 w:firstLine="696"/>
        <w:jc w:val="both"/>
        <w:rPr>
          <w:b/>
          <w:bCs/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>Минимални стойности, от които ще започне оценяването по общите критерии: EURO VI.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 w:firstLine="696"/>
        <w:jc w:val="both"/>
        <w:rPr>
          <w:b/>
          <w:bCs/>
          <w:sz w:val="24"/>
          <w:szCs w:val="24"/>
          <w:u w:val="single"/>
          <w:lang w:val="bg-BG"/>
        </w:rPr>
      </w:pPr>
      <w:r w:rsidRPr="00297467">
        <w:rPr>
          <w:b/>
          <w:bCs/>
          <w:sz w:val="24"/>
          <w:szCs w:val="24"/>
          <w:u w:val="single"/>
          <w:lang w:val="bg-BG"/>
        </w:rPr>
        <w:t xml:space="preserve">II. ФИНАНСОВИ КРИТЕРИИ - МАКСИМАЛНА </w:t>
      </w:r>
      <w:proofErr w:type="gramStart"/>
      <w:r w:rsidRPr="00297467">
        <w:rPr>
          <w:b/>
          <w:bCs/>
          <w:sz w:val="24"/>
          <w:szCs w:val="24"/>
          <w:u w:val="single"/>
          <w:lang w:val="bg-BG"/>
        </w:rPr>
        <w:t>ТЕЖЕСТ -  60</w:t>
      </w:r>
      <w:proofErr w:type="gramEnd"/>
      <w:r w:rsidRPr="00297467">
        <w:rPr>
          <w:b/>
          <w:bCs/>
          <w:sz w:val="24"/>
          <w:szCs w:val="24"/>
          <w:u w:val="single"/>
          <w:lang w:val="bg-BG"/>
        </w:rPr>
        <w:t xml:space="preserve"> % (60 т.)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2425FB" w:rsidRPr="00297467" w:rsidRDefault="002425FB" w:rsidP="002425FB">
      <w:pPr>
        <w:spacing w:line="276" w:lineRule="auto"/>
        <w:ind w:right="-2" w:firstLine="698"/>
        <w:jc w:val="both"/>
        <w:rPr>
          <w:sz w:val="24"/>
          <w:szCs w:val="24"/>
          <w:lang w:val="bg-BG"/>
        </w:rPr>
      </w:pPr>
      <w:proofErr w:type="gramStart"/>
      <w:r w:rsidRPr="00297467">
        <w:rPr>
          <w:b/>
          <w:bCs/>
          <w:sz w:val="24"/>
          <w:szCs w:val="24"/>
          <w:lang w:val="bg-BG"/>
        </w:rPr>
        <w:t>Цена за изпълнение на поръчката</w:t>
      </w:r>
      <w:r w:rsidRPr="00297467">
        <w:rPr>
          <w:sz w:val="24"/>
          <w:szCs w:val="24"/>
          <w:lang w:val="bg-BG"/>
        </w:rPr>
        <w:t xml:space="preserve"> - това е цената</w:t>
      </w:r>
      <w:proofErr w:type="gramEnd"/>
      <w:r w:rsidRPr="00297467">
        <w:rPr>
          <w:sz w:val="24"/>
          <w:szCs w:val="24"/>
          <w:lang w:val="bg-BG"/>
        </w:rPr>
        <w:t>, която включва всички разходи на Възложителя, свързани с получаването на предмета на поръчката, а именно:</w:t>
      </w:r>
    </w:p>
    <w:p w:rsidR="002425FB" w:rsidRPr="00297467" w:rsidRDefault="002425FB" w:rsidP="002425FB">
      <w:pPr>
        <w:pStyle w:val="ListParagraph"/>
        <w:numPr>
          <w:ilvl w:val="0"/>
          <w:numId w:val="2"/>
        </w:num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Доставка на автобуси съгласно изискванията, включително принадлежностите към тях, </w:t>
      </w:r>
      <w:proofErr w:type="spellStart"/>
      <w:r w:rsidRPr="00297467">
        <w:rPr>
          <w:sz w:val="24"/>
          <w:szCs w:val="24"/>
          <w:lang w:val="bg-BG"/>
        </w:rPr>
        <w:t>франко</w:t>
      </w:r>
      <w:proofErr w:type="spellEnd"/>
      <w:r w:rsidR="00986368" w:rsidRPr="00297467">
        <w:rPr>
          <w:sz w:val="24"/>
          <w:szCs w:val="24"/>
          <w:lang w:val="bg-BG"/>
        </w:rPr>
        <w:t xml:space="preserve"> гр. София, „СТОЛИЧЕН АВТОТРАНСПОРТ” ЕАД, ул. „Житница” № 21</w:t>
      </w:r>
      <w:r w:rsidRPr="00297467">
        <w:rPr>
          <w:sz w:val="24"/>
          <w:szCs w:val="24"/>
          <w:lang w:val="bg-BG"/>
        </w:rPr>
        <w:t xml:space="preserve">- (110 бр.) </w:t>
      </w:r>
    </w:p>
    <w:p w:rsidR="002425FB" w:rsidRPr="00297467" w:rsidRDefault="002425FB" w:rsidP="002425FB">
      <w:pPr>
        <w:pStyle w:val="ListParagraph"/>
        <w:numPr>
          <w:ilvl w:val="0"/>
          <w:numId w:val="2"/>
        </w:num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Допълнително оборудване, софтуер и др. за диагностика и ремонт - (по три комплекта от всяка позиция)  </w:t>
      </w:r>
    </w:p>
    <w:p w:rsidR="002425FB" w:rsidRPr="00297467" w:rsidRDefault="002425FB" w:rsidP="002425FB">
      <w:pPr>
        <w:pStyle w:val="ListParagraph"/>
        <w:numPr>
          <w:ilvl w:val="0"/>
          <w:numId w:val="2"/>
        </w:numPr>
        <w:spacing w:line="276" w:lineRule="auto"/>
        <w:ind w:right="-2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>Обучения, съгласно изискванията</w:t>
      </w:r>
    </w:p>
    <w:p w:rsidR="002425FB" w:rsidRPr="00297467" w:rsidRDefault="002425FB" w:rsidP="002425FB">
      <w:pPr>
        <w:spacing w:line="276" w:lineRule="auto"/>
        <w:ind w:right="-2" w:firstLine="698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Предлаганата от участника </w:t>
      </w:r>
      <w:r w:rsidR="00D25EEE" w:rsidRPr="00297467">
        <w:rPr>
          <w:b/>
          <w:sz w:val="24"/>
          <w:szCs w:val="24"/>
          <w:lang w:val="bg-BG"/>
        </w:rPr>
        <w:t>Ц</w:t>
      </w:r>
      <w:r w:rsidRPr="00297467">
        <w:rPr>
          <w:b/>
          <w:sz w:val="24"/>
          <w:szCs w:val="24"/>
          <w:lang w:val="bg-BG"/>
        </w:rPr>
        <w:t>ена за изпълнение на поръчката</w:t>
      </w:r>
      <w:r w:rsidRPr="00297467">
        <w:rPr>
          <w:sz w:val="24"/>
          <w:szCs w:val="24"/>
          <w:lang w:val="bg-BG"/>
        </w:rPr>
        <w:t xml:space="preserve"> не може да надвишава планирания от Възложителя финансов ресурс от 43 000 </w:t>
      </w:r>
      <w:proofErr w:type="spellStart"/>
      <w:r w:rsidRPr="00297467">
        <w:rPr>
          <w:sz w:val="24"/>
          <w:szCs w:val="24"/>
          <w:lang w:val="bg-BG"/>
        </w:rPr>
        <w:t>000</w:t>
      </w:r>
      <w:proofErr w:type="spellEnd"/>
      <w:r w:rsidRPr="00297467">
        <w:rPr>
          <w:sz w:val="24"/>
          <w:szCs w:val="24"/>
          <w:lang w:val="bg-BG"/>
        </w:rPr>
        <w:t xml:space="preserve"> (четиридесет и три милиона) лева без ДДС.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98635F" w:rsidRPr="00297467" w:rsidRDefault="0098635F" w:rsidP="0098635F">
      <w:pPr>
        <w:spacing w:after="120" w:line="276" w:lineRule="auto"/>
        <w:ind w:right="-2"/>
        <w:jc w:val="both"/>
        <w:rPr>
          <w:b/>
          <w:bCs/>
          <w:sz w:val="24"/>
          <w:szCs w:val="24"/>
          <w:lang w:val="bg-BG"/>
        </w:rPr>
      </w:pPr>
      <w:proofErr w:type="gramStart"/>
      <w:r w:rsidRPr="00297467">
        <w:rPr>
          <w:b/>
          <w:bCs/>
          <w:sz w:val="24"/>
          <w:szCs w:val="24"/>
          <w:lang w:val="bg-BG"/>
        </w:rPr>
        <w:t xml:space="preserve">1.  </w:t>
      </w:r>
      <w:proofErr w:type="gramEnd"/>
      <w:r w:rsidRPr="00297467">
        <w:rPr>
          <w:b/>
          <w:bCs/>
          <w:sz w:val="24"/>
          <w:szCs w:val="24"/>
          <w:lang w:val="bg-BG"/>
        </w:rPr>
        <w:t>ОБЩА СТОЙНОСТ</w:t>
      </w:r>
      <w:r w:rsidRPr="00297467">
        <w:rPr>
          <w:b/>
          <w:bCs/>
          <w:sz w:val="24"/>
          <w:szCs w:val="24"/>
          <w:lang w:val="bg-BG"/>
        </w:rPr>
        <w:tab/>
      </w:r>
      <w:r w:rsidRPr="00297467">
        <w:rPr>
          <w:b/>
          <w:bCs/>
          <w:sz w:val="24"/>
          <w:szCs w:val="24"/>
          <w:lang w:val="bg-BG"/>
        </w:rPr>
        <w:tab/>
      </w:r>
      <w:r w:rsidRPr="00297467">
        <w:rPr>
          <w:b/>
          <w:bCs/>
          <w:sz w:val="24"/>
          <w:szCs w:val="24"/>
          <w:lang w:val="bg-BG"/>
        </w:rPr>
        <w:tab/>
      </w:r>
      <w:r w:rsidRPr="00297467">
        <w:rPr>
          <w:b/>
          <w:bCs/>
          <w:sz w:val="24"/>
          <w:szCs w:val="24"/>
          <w:lang w:val="bg-BG"/>
        </w:rPr>
        <w:tab/>
      </w:r>
      <w:r w:rsidRPr="00297467">
        <w:rPr>
          <w:b/>
          <w:bCs/>
          <w:sz w:val="24"/>
          <w:szCs w:val="24"/>
          <w:lang w:val="bg-BG"/>
        </w:rPr>
        <w:tab/>
        <w:t xml:space="preserve">     - </w:t>
      </w:r>
      <w:r w:rsidRPr="00297467">
        <w:rPr>
          <w:b/>
          <w:bCs/>
          <w:sz w:val="24"/>
          <w:szCs w:val="24"/>
          <w:lang w:val="bg-BG"/>
        </w:rPr>
        <w:tab/>
      </w:r>
      <w:r w:rsidRPr="00297467">
        <w:rPr>
          <w:b/>
          <w:bCs/>
          <w:sz w:val="24"/>
          <w:szCs w:val="24"/>
          <w:lang w:val="bg-BG"/>
        </w:rPr>
        <w:tab/>
      </w:r>
      <w:r w:rsidRPr="00297467">
        <w:rPr>
          <w:b/>
          <w:bCs/>
          <w:sz w:val="24"/>
          <w:szCs w:val="24"/>
          <w:lang w:val="bg-BG"/>
        </w:rPr>
        <w:tab/>
      </w:r>
      <w:r w:rsidRPr="00297467">
        <w:rPr>
          <w:sz w:val="24"/>
          <w:szCs w:val="24"/>
          <w:lang w:val="bg-BG"/>
        </w:rPr>
        <w:t xml:space="preserve">            до 60 т.</w:t>
      </w:r>
    </w:p>
    <w:p w:rsidR="0098635F" w:rsidRPr="00297467" w:rsidRDefault="0098635F" w:rsidP="0098635F">
      <w:pPr>
        <w:spacing w:line="276" w:lineRule="auto"/>
        <w:ind w:right="-2" w:firstLine="698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 xml:space="preserve">Посочва се общата </w:t>
      </w:r>
      <w:r w:rsidR="008A527A" w:rsidRPr="00297467">
        <w:rPr>
          <w:b/>
          <w:bCs/>
          <w:sz w:val="24"/>
          <w:szCs w:val="24"/>
          <w:lang w:val="bg-BG"/>
        </w:rPr>
        <w:t>Цена за изпълнение на поръчката</w:t>
      </w:r>
      <w:r w:rsidRPr="00297467">
        <w:rPr>
          <w:sz w:val="24"/>
          <w:szCs w:val="24"/>
          <w:lang w:val="bg-BG"/>
        </w:rPr>
        <w:t xml:space="preserve">, до посочената </w:t>
      </w:r>
      <w:proofErr w:type="gramStart"/>
      <w:r w:rsidRPr="00297467">
        <w:rPr>
          <w:sz w:val="24"/>
          <w:szCs w:val="24"/>
          <w:lang w:val="bg-BG"/>
        </w:rPr>
        <w:t xml:space="preserve">франкировка. </w:t>
      </w:r>
      <w:proofErr w:type="gramEnd"/>
    </w:p>
    <w:p w:rsidR="0098635F" w:rsidRPr="00297467" w:rsidRDefault="0098635F" w:rsidP="0098635F">
      <w:pPr>
        <w:spacing w:line="276" w:lineRule="auto"/>
        <w:ind w:right="-2" w:firstLine="698"/>
        <w:jc w:val="both"/>
        <w:rPr>
          <w:sz w:val="24"/>
          <w:szCs w:val="24"/>
          <w:lang w:val="bg-BG"/>
        </w:rPr>
      </w:pPr>
      <w:r w:rsidRPr="00297467">
        <w:rPr>
          <w:sz w:val="24"/>
          <w:szCs w:val="24"/>
          <w:lang w:val="bg-BG"/>
        </w:rPr>
        <w:t>Най-ниската предложена обща стойност получава максималния брой точки, а останалите оценки се намаляват пропорционално,</w:t>
      </w:r>
    </w:p>
    <w:p w:rsidR="0098635F" w:rsidRPr="00297467" w:rsidRDefault="0098635F" w:rsidP="0098635F">
      <w:pPr>
        <w:spacing w:before="120" w:after="120" w:line="276" w:lineRule="auto"/>
        <w:ind w:right="-2" w:firstLine="696"/>
        <w:outlineLvl w:val="0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по</w:t>
      </w:r>
      <w:proofErr w:type="gramEnd"/>
      <w:r w:rsidRPr="00297467">
        <w:rPr>
          <w:sz w:val="24"/>
          <w:szCs w:val="24"/>
          <w:lang w:val="bg-BG"/>
        </w:rPr>
        <w:t xml:space="preserve"> формулата:     (Ц</w:t>
      </w:r>
      <w:r w:rsidRPr="00297467">
        <w:rPr>
          <w:sz w:val="24"/>
          <w:szCs w:val="24"/>
          <w:vertAlign w:val="subscript"/>
          <w:lang w:val="bg-BG"/>
        </w:rPr>
        <w:t>min</w:t>
      </w:r>
      <w:r w:rsidRPr="00297467">
        <w:rPr>
          <w:sz w:val="24"/>
          <w:szCs w:val="24"/>
          <w:lang w:val="bg-BG"/>
        </w:rPr>
        <w:t xml:space="preserve"> </w:t>
      </w:r>
      <w:r w:rsidRPr="00297467">
        <w:rPr>
          <w:b/>
          <w:bCs/>
          <w:sz w:val="24"/>
          <w:szCs w:val="24"/>
          <w:lang w:val="bg-BG"/>
        </w:rPr>
        <w:t>/</w:t>
      </w:r>
      <w:r w:rsidRPr="00297467">
        <w:rPr>
          <w:sz w:val="24"/>
          <w:szCs w:val="24"/>
          <w:lang w:val="bg-BG"/>
        </w:rPr>
        <w:t xml:space="preserve"> Ц n) х 60 = т.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  <w:proofErr w:type="gramStart"/>
      <w:r w:rsidRPr="00297467">
        <w:rPr>
          <w:sz w:val="24"/>
          <w:szCs w:val="24"/>
          <w:lang w:val="bg-BG"/>
        </w:rPr>
        <w:t>където</w:t>
      </w:r>
      <w:proofErr w:type="gramEnd"/>
      <w:r w:rsidRPr="00297467">
        <w:rPr>
          <w:sz w:val="24"/>
          <w:szCs w:val="24"/>
          <w:lang w:val="bg-BG"/>
        </w:rPr>
        <w:t>: Ц min е най-ниската предложена обща стойност от всички оферти, а Цn е общата стойност, предложена в оценяваната оферта.</w:t>
      </w:r>
    </w:p>
    <w:p w:rsidR="0098635F" w:rsidRPr="00297467" w:rsidRDefault="0098635F" w:rsidP="0098635F">
      <w:pPr>
        <w:spacing w:line="276" w:lineRule="auto"/>
        <w:ind w:right="-2"/>
        <w:jc w:val="both"/>
        <w:rPr>
          <w:sz w:val="24"/>
          <w:szCs w:val="24"/>
          <w:lang w:val="bg-BG"/>
        </w:rPr>
      </w:pPr>
    </w:p>
    <w:p w:rsidR="0098635F" w:rsidRPr="00297467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</w:p>
    <w:p w:rsidR="0098635F" w:rsidRPr="0098635F" w:rsidRDefault="0098635F" w:rsidP="0098635F">
      <w:pPr>
        <w:spacing w:line="276" w:lineRule="auto"/>
        <w:ind w:right="-2"/>
        <w:jc w:val="both"/>
        <w:rPr>
          <w:b/>
          <w:bCs/>
          <w:sz w:val="24"/>
          <w:szCs w:val="24"/>
          <w:lang w:val="bg-BG"/>
        </w:rPr>
      </w:pPr>
      <w:r w:rsidRPr="00297467">
        <w:rPr>
          <w:b/>
          <w:bCs/>
          <w:sz w:val="24"/>
          <w:szCs w:val="24"/>
          <w:lang w:val="bg-BG"/>
        </w:rPr>
        <w:t>МАКСИМАЛЕН ОБЩ БРОЙ ТОЧКИ, КОЙТО УЧАСТНИКА МОЖЕ ДА ПОЛУЧИ ПО ОБЩИ И ФИНАНСОВИ КРИТЕРИИ Е 100 т.</w:t>
      </w:r>
    </w:p>
    <w:p w:rsidR="0098635F" w:rsidRPr="0098635F" w:rsidRDefault="0098635F" w:rsidP="0098635F">
      <w:pPr>
        <w:spacing w:line="276" w:lineRule="auto"/>
        <w:ind w:right="-2"/>
        <w:jc w:val="both"/>
        <w:rPr>
          <w:lang w:val="bg-BG"/>
        </w:rPr>
      </w:pPr>
    </w:p>
    <w:p w:rsidR="00DA308F" w:rsidRPr="0098635F" w:rsidRDefault="00DA308F">
      <w:pPr>
        <w:rPr>
          <w:lang w:val="bg-BG"/>
        </w:rPr>
      </w:pPr>
    </w:p>
    <w:sectPr w:rsidR="00DA308F" w:rsidRPr="0098635F" w:rsidSect="00D4250C">
      <w:headerReference w:type="default" r:id="rId7"/>
      <w:pgSz w:w="11906" w:h="16838"/>
      <w:pgMar w:top="1134" w:right="1134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40" w:rsidRDefault="00C77140" w:rsidP="00EC5BE3">
      <w:r>
        <w:separator/>
      </w:r>
    </w:p>
  </w:endnote>
  <w:endnote w:type="continuationSeparator" w:id="0">
    <w:p w:rsidR="00C77140" w:rsidRDefault="00C77140" w:rsidP="00EC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40" w:rsidRDefault="00C77140" w:rsidP="00EC5BE3">
      <w:r>
        <w:separator/>
      </w:r>
    </w:p>
  </w:footnote>
  <w:footnote w:type="continuationSeparator" w:id="0">
    <w:p w:rsidR="00C77140" w:rsidRDefault="00C77140" w:rsidP="00EC5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0C" w:rsidRDefault="00BC4410" w:rsidP="008C3A6E">
    <w:pPr>
      <w:pStyle w:val="Head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98635F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297467"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:rsidR="00D4250C" w:rsidRDefault="00297467" w:rsidP="00121B2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6D32"/>
    <w:multiLevelType w:val="hybridMultilevel"/>
    <w:tmpl w:val="35DA6A9A"/>
    <w:lvl w:ilvl="0" w:tplc="2F00602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00421E"/>
    <w:multiLevelType w:val="hybridMultilevel"/>
    <w:tmpl w:val="7DA21CC6"/>
    <w:lvl w:ilvl="0" w:tplc="04020011">
      <w:start w:val="1"/>
      <w:numFmt w:val="decimal"/>
      <w:lvlText w:val="%1)"/>
      <w:lvlJc w:val="left"/>
      <w:pPr>
        <w:ind w:left="1418" w:hanging="360"/>
      </w:pPr>
    </w:lvl>
    <w:lvl w:ilvl="1" w:tplc="04020019" w:tentative="1">
      <w:start w:val="1"/>
      <w:numFmt w:val="lowerLetter"/>
      <w:lvlText w:val="%2."/>
      <w:lvlJc w:val="left"/>
      <w:pPr>
        <w:ind w:left="2138" w:hanging="360"/>
      </w:pPr>
    </w:lvl>
    <w:lvl w:ilvl="2" w:tplc="0402001B" w:tentative="1">
      <w:start w:val="1"/>
      <w:numFmt w:val="lowerRoman"/>
      <w:lvlText w:val="%3."/>
      <w:lvlJc w:val="right"/>
      <w:pPr>
        <w:ind w:left="2858" w:hanging="180"/>
      </w:pPr>
    </w:lvl>
    <w:lvl w:ilvl="3" w:tplc="0402000F" w:tentative="1">
      <w:start w:val="1"/>
      <w:numFmt w:val="decimal"/>
      <w:lvlText w:val="%4."/>
      <w:lvlJc w:val="left"/>
      <w:pPr>
        <w:ind w:left="3578" w:hanging="360"/>
      </w:pPr>
    </w:lvl>
    <w:lvl w:ilvl="4" w:tplc="04020019" w:tentative="1">
      <w:start w:val="1"/>
      <w:numFmt w:val="lowerLetter"/>
      <w:lvlText w:val="%5."/>
      <w:lvlJc w:val="left"/>
      <w:pPr>
        <w:ind w:left="4298" w:hanging="360"/>
      </w:pPr>
    </w:lvl>
    <w:lvl w:ilvl="5" w:tplc="0402001B" w:tentative="1">
      <w:start w:val="1"/>
      <w:numFmt w:val="lowerRoman"/>
      <w:lvlText w:val="%6."/>
      <w:lvlJc w:val="right"/>
      <w:pPr>
        <w:ind w:left="5018" w:hanging="180"/>
      </w:pPr>
    </w:lvl>
    <w:lvl w:ilvl="6" w:tplc="0402000F" w:tentative="1">
      <w:start w:val="1"/>
      <w:numFmt w:val="decimal"/>
      <w:lvlText w:val="%7."/>
      <w:lvlJc w:val="left"/>
      <w:pPr>
        <w:ind w:left="5738" w:hanging="360"/>
      </w:pPr>
    </w:lvl>
    <w:lvl w:ilvl="7" w:tplc="04020019" w:tentative="1">
      <w:start w:val="1"/>
      <w:numFmt w:val="lowerLetter"/>
      <w:lvlText w:val="%8."/>
      <w:lvlJc w:val="left"/>
      <w:pPr>
        <w:ind w:left="6458" w:hanging="360"/>
      </w:pPr>
    </w:lvl>
    <w:lvl w:ilvl="8" w:tplc="0402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35F"/>
    <w:rsid w:val="00014DBF"/>
    <w:rsid w:val="001931F7"/>
    <w:rsid w:val="002137A7"/>
    <w:rsid w:val="002425FB"/>
    <w:rsid w:val="00297467"/>
    <w:rsid w:val="004D178A"/>
    <w:rsid w:val="0056771F"/>
    <w:rsid w:val="007069DC"/>
    <w:rsid w:val="0079615F"/>
    <w:rsid w:val="007E11B6"/>
    <w:rsid w:val="0089696C"/>
    <w:rsid w:val="008A527A"/>
    <w:rsid w:val="0098635F"/>
    <w:rsid w:val="00986368"/>
    <w:rsid w:val="00A4151E"/>
    <w:rsid w:val="00A909DB"/>
    <w:rsid w:val="00BA15D4"/>
    <w:rsid w:val="00BC4410"/>
    <w:rsid w:val="00C61B6C"/>
    <w:rsid w:val="00C75FEF"/>
    <w:rsid w:val="00C77140"/>
    <w:rsid w:val="00D25EEE"/>
    <w:rsid w:val="00D84435"/>
    <w:rsid w:val="00DA308F"/>
    <w:rsid w:val="00EC5BE3"/>
    <w:rsid w:val="00FE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9696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</w:style>
  <w:style w:type="paragraph" w:styleId="ListParagraph">
    <w:name w:val="List Paragraph"/>
    <w:basedOn w:val="Normal"/>
    <w:uiPriority w:val="34"/>
    <w:qFormat/>
    <w:rsid w:val="008969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98635F"/>
    <w:pPr>
      <w:ind w:firstLine="851"/>
      <w:jc w:val="both"/>
    </w:pPr>
    <w:rPr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8635F"/>
    <w:rPr>
      <w:rFonts w:ascii="Times New Roman" w:eastAsia="Times New Roman" w:hAnsi="Times New Roman" w:cs="Times New Roman"/>
      <w:sz w:val="28"/>
      <w:szCs w:val="28"/>
      <w:lang w:val="bg-BG" w:bidi="ar-SA"/>
    </w:rPr>
  </w:style>
  <w:style w:type="paragraph" w:styleId="Header">
    <w:name w:val="header"/>
    <w:basedOn w:val="Normal"/>
    <w:link w:val="HeaderChar"/>
    <w:uiPriority w:val="99"/>
    <w:rsid w:val="0098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5F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PageNumber">
    <w:name w:val="page number"/>
    <w:basedOn w:val="DefaultParagraphFont"/>
    <w:uiPriority w:val="99"/>
    <w:rsid w:val="0098635F"/>
  </w:style>
  <w:style w:type="paragraph" w:styleId="BalloonText">
    <w:name w:val="Balloon Text"/>
    <w:basedOn w:val="Normal"/>
    <w:link w:val="BalloonTextChar"/>
    <w:uiPriority w:val="99"/>
    <w:semiHidden/>
    <w:rsid w:val="0098635F"/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5F"/>
    <w:rPr>
      <w:rFonts w:ascii="Tahoma" w:eastAsia="Times New Roman" w:hAnsi="Tahoma" w:cs="Tahoma"/>
      <w:sz w:val="16"/>
      <w:szCs w:val="16"/>
      <w:lang w:val="en-GB" w:eastAsia="bg-BG" w:bidi="ar-SA"/>
    </w:rPr>
  </w:style>
  <w:style w:type="character" w:styleId="CommentReference">
    <w:name w:val="annotation reference"/>
    <w:basedOn w:val="DefaultParagraphFont"/>
    <w:uiPriority w:val="99"/>
    <w:semiHidden/>
    <w:rsid w:val="00986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63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35F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6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ADDT&amp;P</dc:creator>
  <cp:keywords/>
  <dc:description/>
  <cp:lastModifiedBy>User</cp:lastModifiedBy>
  <cp:revision>10</cp:revision>
  <dcterms:created xsi:type="dcterms:W3CDTF">2014-07-25T10:16:00Z</dcterms:created>
  <dcterms:modified xsi:type="dcterms:W3CDTF">2014-11-04T08:56:00Z</dcterms:modified>
</cp:coreProperties>
</file>